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A695FB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26A05" w:rsidRPr="00A14F2E">
        <w:t>American History I</w:t>
      </w:r>
      <w:r w:rsidR="00426A05">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ED8251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426A05">
        <w:rPr>
          <w:rFonts w:eastAsia="Times New Roman" w:cs="Times New Roman"/>
          <w:b/>
          <w:szCs w:val="24"/>
        </w:rPr>
        <w:t>HIST 1111</w:t>
      </w:r>
    </w:p>
    <w:p w14:paraId="43D6665B" w14:textId="77777777" w:rsidR="002D552E" w:rsidRPr="002D552E" w:rsidRDefault="002D552E" w:rsidP="002D552E">
      <w:pPr>
        <w:spacing w:after="0" w:line="240" w:lineRule="auto"/>
        <w:rPr>
          <w:rFonts w:eastAsia="Times New Roman" w:cs="Times New Roman"/>
          <w:b/>
          <w:szCs w:val="24"/>
        </w:rPr>
      </w:pPr>
    </w:p>
    <w:p w14:paraId="43D6665C" w14:textId="4AF92C7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426A05">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5DE9C5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426A05">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7300E">
        <w:rPr>
          <w:rFonts w:eastAsia="Times New Roman" w:cs="Times New Roman"/>
          <w:b/>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1661720" w14:textId="6B7F9F16" w:rsidR="00E7300E" w:rsidRDefault="00E7300E" w:rsidP="00E7300E">
      <w:pPr>
        <w:pStyle w:val="ListParagraph"/>
      </w:pPr>
      <w:r w:rsidRPr="006D1087">
        <w:t xml:space="preserve">This course is a survey of the history of the United States from 1877 to the present day.  The course will introduce students to the major political, social, economic, religious, cultural, intellectual, and technological developments in American history from the end of reconstruction to the post-modern era.  Topics will include, but are not limited to; Gilded </w:t>
      </w:r>
      <w:r w:rsidRPr="006D1087">
        <w:tab/>
        <w:t xml:space="preserve">Age politics, late 19th and 20th century industrialization, economic changes, immigration, Progressivism, American Imperialism, World War one, cultural changes in the 1920’s, and The Great Depression.  The latter portion of the semester will focus on the events leading to </w:t>
      </w:r>
      <w:r w:rsidRPr="006D1087">
        <w:tab/>
        <w:t xml:space="preserve">World War Two, the military history of the war, the Cold War, the Civil Rights Movement, social change in the 1950’s and 1960’s, the Vietnam War, and the post-Cold War era up to the </w:t>
      </w:r>
      <w:r w:rsidR="009E3AC0">
        <w:t xml:space="preserve">current </w:t>
      </w:r>
      <w:r w:rsidRPr="006D1087">
        <w:t>presidential electio</w:t>
      </w:r>
      <w:r w:rsidR="009E3AC0">
        <w:t>n</w:t>
      </w:r>
      <w:r w:rsidRPr="006D1087">
        <w:t>.</w:t>
      </w:r>
    </w:p>
    <w:p w14:paraId="43D66666" w14:textId="3821241A" w:rsidR="002D552E" w:rsidRDefault="002D552E" w:rsidP="002D552E">
      <w:pPr>
        <w:spacing w:after="0" w:line="240" w:lineRule="auto"/>
        <w:rPr>
          <w:rFonts w:eastAsia="Times New Roman" w:cs="Times New Roman"/>
          <w:b/>
          <w:szCs w:val="24"/>
        </w:rPr>
      </w:pPr>
    </w:p>
    <w:p w14:paraId="6A72D980" w14:textId="77777777" w:rsidR="00E7300E" w:rsidRPr="002D552E" w:rsidRDefault="00E7300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1328BBA5" w14:textId="77777777" w:rsidR="00E7300E" w:rsidRPr="00E7300E" w:rsidRDefault="00E7300E" w:rsidP="00E7300E">
      <w:pPr>
        <w:widowControl w:val="0"/>
        <w:numPr>
          <w:ilvl w:val="0"/>
          <w:numId w:val="2"/>
        </w:numPr>
        <w:autoSpaceDE w:val="0"/>
        <w:autoSpaceDN w:val="0"/>
        <w:adjustRightInd w:val="0"/>
        <w:spacing w:after="0" w:line="240" w:lineRule="auto"/>
        <w:contextualSpacing/>
        <w:rPr>
          <w:rFonts w:eastAsia="Times New Roman" w:cs="Times New Roman"/>
          <w:szCs w:val="24"/>
        </w:rPr>
      </w:pPr>
      <w:r w:rsidRPr="00E7300E">
        <w:rPr>
          <w:rFonts w:eastAsia="Times New Roman" w:cs="Times New Roman"/>
          <w:szCs w:val="24"/>
        </w:rPr>
        <w:t>Apply critical thinking as to analyze primary and secondary sources (i.e. historical analysis of text).</w:t>
      </w:r>
    </w:p>
    <w:p w14:paraId="1CB35FDE" w14:textId="77777777" w:rsidR="00E7300E" w:rsidRPr="00E7300E" w:rsidRDefault="00E7300E" w:rsidP="00E7300E">
      <w:pPr>
        <w:widowControl w:val="0"/>
        <w:numPr>
          <w:ilvl w:val="0"/>
          <w:numId w:val="2"/>
        </w:numPr>
        <w:autoSpaceDE w:val="0"/>
        <w:autoSpaceDN w:val="0"/>
        <w:adjustRightInd w:val="0"/>
        <w:spacing w:after="0" w:line="240" w:lineRule="auto"/>
        <w:contextualSpacing/>
        <w:rPr>
          <w:rFonts w:eastAsia="Times New Roman" w:cs="Times New Roman"/>
          <w:szCs w:val="24"/>
        </w:rPr>
      </w:pPr>
      <w:r w:rsidRPr="00E7300E">
        <w:rPr>
          <w:rFonts w:eastAsia="Times New Roman" w:cs="Times New Roman"/>
          <w:szCs w:val="24"/>
        </w:rPr>
        <w:t>Explain the cause, effect and relevance of specific historical events and/or periods within the broader historical context.</w:t>
      </w:r>
    </w:p>
    <w:p w14:paraId="28718099" w14:textId="77777777" w:rsidR="00E7300E" w:rsidRPr="00E7300E" w:rsidRDefault="00E7300E" w:rsidP="00E7300E">
      <w:pPr>
        <w:widowControl w:val="0"/>
        <w:numPr>
          <w:ilvl w:val="0"/>
          <w:numId w:val="2"/>
        </w:numPr>
        <w:autoSpaceDE w:val="0"/>
        <w:autoSpaceDN w:val="0"/>
        <w:adjustRightInd w:val="0"/>
        <w:spacing w:after="0" w:line="240" w:lineRule="auto"/>
        <w:contextualSpacing/>
        <w:rPr>
          <w:rFonts w:eastAsia="Times New Roman" w:cs="Times New Roman"/>
          <w:szCs w:val="24"/>
        </w:rPr>
      </w:pPr>
      <w:r w:rsidRPr="00E7300E">
        <w:rPr>
          <w:rFonts w:eastAsia="Times New Roman" w:cs="Times New Roman"/>
          <w:szCs w:val="24"/>
        </w:rPr>
        <w:t>Understands and articulate diverse historical interpretations.</w:t>
      </w:r>
    </w:p>
    <w:p w14:paraId="255F22DC" w14:textId="77777777" w:rsidR="00E7300E" w:rsidRPr="00E7300E" w:rsidRDefault="00E7300E" w:rsidP="00E7300E">
      <w:pPr>
        <w:widowControl w:val="0"/>
        <w:numPr>
          <w:ilvl w:val="0"/>
          <w:numId w:val="2"/>
        </w:numPr>
        <w:autoSpaceDE w:val="0"/>
        <w:autoSpaceDN w:val="0"/>
        <w:adjustRightInd w:val="0"/>
        <w:spacing w:after="0" w:line="240" w:lineRule="auto"/>
        <w:contextualSpacing/>
        <w:rPr>
          <w:rFonts w:eastAsia="Times New Roman" w:cs="Times New Roman"/>
          <w:szCs w:val="24"/>
        </w:rPr>
      </w:pPr>
      <w:r w:rsidRPr="00E7300E">
        <w:rPr>
          <w:rFonts w:eastAsia="Times New Roman" w:cs="Times New Roman"/>
          <w:szCs w:val="24"/>
        </w:rPr>
        <w:t>Clearly demonstrate the ability to understand and apply basic historical concepts, methodologies, and approaches.</w:t>
      </w:r>
    </w:p>
    <w:p w14:paraId="4DC90B04" w14:textId="77777777" w:rsidR="00E7300E" w:rsidRPr="00E7300E" w:rsidRDefault="00E7300E" w:rsidP="00E7300E">
      <w:pPr>
        <w:widowControl w:val="0"/>
        <w:numPr>
          <w:ilvl w:val="0"/>
          <w:numId w:val="2"/>
        </w:numPr>
        <w:autoSpaceDE w:val="0"/>
        <w:autoSpaceDN w:val="0"/>
        <w:adjustRightInd w:val="0"/>
        <w:spacing w:after="0" w:line="240" w:lineRule="auto"/>
        <w:contextualSpacing/>
        <w:rPr>
          <w:rFonts w:eastAsia="Times New Roman" w:cs="Times New Roman"/>
          <w:szCs w:val="24"/>
        </w:rPr>
      </w:pPr>
      <w:r w:rsidRPr="00E7300E">
        <w:rPr>
          <w:rFonts w:eastAsia="Times New Roman" w:cs="Times New Roman"/>
          <w:szCs w:val="24"/>
        </w:rPr>
        <w:t>Articulate historical arguments in a variety of forms of communication.</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10A7A001" w14:textId="77777777" w:rsidR="00E7300E" w:rsidRDefault="00E7300E" w:rsidP="00E7300E">
      <w:pPr>
        <w:pStyle w:val="ListParagraph"/>
        <w:rPr>
          <w:i/>
        </w:rPr>
      </w:pPr>
    </w:p>
    <w:p w14:paraId="03C16F24" w14:textId="0B7A0267" w:rsidR="00E7300E" w:rsidRDefault="00E7300E" w:rsidP="00E7300E">
      <w:pPr>
        <w:pStyle w:val="ListParagraph"/>
        <w:rPr>
          <w:i/>
        </w:rPr>
      </w:pPr>
      <w:r w:rsidRPr="00E7300E">
        <w:rPr>
          <w:i/>
        </w:rPr>
        <w:t>Give Me Liberty: An American History Vol. II</w:t>
      </w:r>
    </w:p>
    <w:p w14:paraId="62BADCBE" w14:textId="3AEF39E5" w:rsidR="00E7300E" w:rsidRDefault="00E7300E" w:rsidP="00E7300E">
      <w:pPr>
        <w:pStyle w:val="ListParagraph"/>
      </w:pPr>
      <w:r w:rsidRPr="004234B0">
        <w:t>Foner</w:t>
      </w:r>
      <w:r>
        <w:t>, Eric</w:t>
      </w:r>
    </w:p>
    <w:p w14:paraId="64DB5CE0" w14:textId="77777777" w:rsidR="00E7300E" w:rsidRPr="00E7300E" w:rsidRDefault="00E7300E" w:rsidP="00E7300E">
      <w:pPr>
        <w:widowControl w:val="0"/>
        <w:autoSpaceDE w:val="0"/>
        <w:autoSpaceDN w:val="0"/>
        <w:adjustRightInd w:val="0"/>
        <w:spacing w:after="0" w:line="240" w:lineRule="auto"/>
        <w:ind w:left="480" w:firstLine="240"/>
        <w:rPr>
          <w:rFonts w:eastAsia="Times New Roman" w:cs="Times New Roman"/>
          <w:szCs w:val="24"/>
        </w:rPr>
      </w:pPr>
      <w:r w:rsidRPr="00E7300E">
        <w:rPr>
          <w:rFonts w:eastAsia="Times New Roman" w:cs="Times New Roman"/>
          <w:szCs w:val="24"/>
        </w:rPr>
        <w:t>Seagull 7</w:t>
      </w:r>
      <w:r w:rsidRPr="00E7300E">
        <w:rPr>
          <w:rFonts w:eastAsia="Times New Roman" w:cs="Times New Roman"/>
          <w:szCs w:val="24"/>
          <w:vertAlign w:val="superscript"/>
        </w:rPr>
        <w:t>h</w:t>
      </w:r>
      <w:r w:rsidRPr="00E7300E">
        <w:rPr>
          <w:rFonts w:eastAsia="Times New Roman" w:cs="Times New Roman"/>
          <w:szCs w:val="24"/>
        </w:rPr>
        <w:t xml:space="preserve"> Edition.</w:t>
      </w:r>
    </w:p>
    <w:p w14:paraId="4E86EDEB" w14:textId="77777777" w:rsidR="00E7300E" w:rsidRPr="00E7300E" w:rsidRDefault="00E7300E" w:rsidP="00E7300E">
      <w:pPr>
        <w:widowControl w:val="0"/>
        <w:autoSpaceDE w:val="0"/>
        <w:autoSpaceDN w:val="0"/>
        <w:adjustRightInd w:val="0"/>
        <w:spacing w:after="0" w:line="240" w:lineRule="auto"/>
        <w:ind w:left="480" w:firstLine="240"/>
        <w:rPr>
          <w:rFonts w:eastAsia="Times New Roman" w:cs="Times New Roman"/>
          <w:szCs w:val="24"/>
        </w:rPr>
      </w:pPr>
      <w:r w:rsidRPr="00E7300E">
        <w:rPr>
          <w:rFonts w:eastAsia="Times New Roman" w:cs="Times New Roman"/>
          <w:szCs w:val="24"/>
        </w:rPr>
        <w:t>Norton.</w:t>
      </w:r>
    </w:p>
    <w:p w14:paraId="29622378" w14:textId="77777777" w:rsidR="00E7300E" w:rsidRPr="00E7300E" w:rsidRDefault="00E7300E" w:rsidP="00E7300E">
      <w:pPr>
        <w:widowControl w:val="0"/>
        <w:autoSpaceDE w:val="0"/>
        <w:autoSpaceDN w:val="0"/>
        <w:adjustRightInd w:val="0"/>
        <w:spacing w:after="0" w:line="240" w:lineRule="auto"/>
        <w:ind w:left="480" w:firstLine="240"/>
        <w:rPr>
          <w:rFonts w:eastAsia="Times New Roman" w:cs="Times New Roman"/>
          <w:szCs w:val="24"/>
        </w:rPr>
      </w:pPr>
      <w:r w:rsidRPr="00E7300E">
        <w:rPr>
          <w:rFonts w:eastAsia="Times New Roman" w:cs="Times New Roman"/>
          <w:szCs w:val="24"/>
        </w:rPr>
        <w:t>2023</w:t>
      </w:r>
    </w:p>
    <w:p w14:paraId="34F776EE" w14:textId="77777777" w:rsidR="00E7300E" w:rsidRPr="00E7300E" w:rsidRDefault="00E7300E" w:rsidP="00E7300E">
      <w:pPr>
        <w:widowControl w:val="0"/>
        <w:autoSpaceDE w:val="0"/>
        <w:autoSpaceDN w:val="0"/>
        <w:adjustRightInd w:val="0"/>
        <w:spacing w:after="0" w:line="240" w:lineRule="auto"/>
        <w:ind w:left="480" w:firstLine="240"/>
        <w:rPr>
          <w:rFonts w:eastAsia="Times New Roman" w:cs="Times New Roman"/>
          <w:szCs w:val="24"/>
        </w:rPr>
      </w:pPr>
      <w:r w:rsidRPr="00E7300E">
        <w:rPr>
          <w:rFonts w:eastAsia="Times New Roman" w:cs="Times New Roman"/>
          <w:szCs w:val="24"/>
        </w:rPr>
        <w:t>ISBN: 978-1-324-04148-1 (Paperback)</w:t>
      </w:r>
    </w:p>
    <w:p w14:paraId="149A551E" w14:textId="77777777" w:rsidR="00E7300E" w:rsidRPr="00E7300E" w:rsidRDefault="00E7300E" w:rsidP="00E7300E">
      <w:pPr>
        <w:widowControl w:val="0"/>
        <w:autoSpaceDE w:val="0"/>
        <w:autoSpaceDN w:val="0"/>
        <w:adjustRightInd w:val="0"/>
        <w:spacing w:after="0" w:line="240" w:lineRule="auto"/>
        <w:ind w:left="480" w:firstLine="240"/>
        <w:rPr>
          <w:rFonts w:eastAsia="Times New Roman" w:cs="Times New Roman"/>
          <w:szCs w:val="24"/>
        </w:rPr>
      </w:pPr>
      <w:r w:rsidRPr="00E7300E">
        <w:rPr>
          <w:rFonts w:eastAsia="Times New Roman" w:cs="Times New Roman"/>
          <w:szCs w:val="24"/>
        </w:rPr>
        <w:t>ISBN: 978-1-324-04157-3 (</w:t>
      </w:r>
      <w:proofErr w:type="spellStart"/>
      <w:r w:rsidRPr="00E7300E">
        <w:rPr>
          <w:rFonts w:eastAsia="Times New Roman" w:cs="Times New Roman"/>
          <w:szCs w:val="24"/>
        </w:rPr>
        <w:t>Ebook</w:t>
      </w:r>
      <w:proofErr w:type="spellEnd"/>
      <w:r w:rsidRPr="00E7300E">
        <w:rPr>
          <w:rFonts w:eastAsia="Times New Roman" w:cs="Times New Roman"/>
          <w:szCs w:val="24"/>
        </w:rPr>
        <w:t>)</w:t>
      </w:r>
    </w:p>
    <w:p w14:paraId="068CD3AC" w14:textId="77777777" w:rsidR="00E7300E" w:rsidRPr="00E7300E" w:rsidRDefault="00E7300E" w:rsidP="00E7300E">
      <w:pPr>
        <w:pStyle w:val="ListParagraph"/>
        <w:rPr>
          <w:i/>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4D47E7FF" w:rsidR="003656D3" w:rsidRDefault="00E7300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(Example)</w:t>
      </w:r>
    </w:p>
    <w:tbl>
      <w:tblPr>
        <w:tblStyle w:val="TableGrid1"/>
        <w:tblW w:w="9265" w:type="dxa"/>
        <w:tblLook w:val="04A0" w:firstRow="1" w:lastRow="0" w:firstColumn="1" w:lastColumn="0" w:noHBand="0" w:noVBand="1"/>
      </w:tblPr>
      <w:tblGrid>
        <w:gridCol w:w="960"/>
        <w:gridCol w:w="6415"/>
        <w:gridCol w:w="1890"/>
      </w:tblGrid>
      <w:tr w:rsidR="00E7300E" w:rsidRPr="00E7300E" w14:paraId="3B790735" w14:textId="77777777" w:rsidTr="008815B2">
        <w:trPr>
          <w:trHeight w:val="300"/>
        </w:trPr>
        <w:tc>
          <w:tcPr>
            <w:tcW w:w="960" w:type="dxa"/>
            <w:noWrap/>
            <w:hideMark/>
          </w:tcPr>
          <w:p w14:paraId="3924DA7F"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Week</w:t>
            </w:r>
          </w:p>
        </w:tc>
        <w:tc>
          <w:tcPr>
            <w:tcW w:w="6415" w:type="dxa"/>
            <w:noWrap/>
            <w:hideMark/>
          </w:tcPr>
          <w:p w14:paraId="55DF0C6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Topic</w:t>
            </w:r>
          </w:p>
        </w:tc>
        <w:tc>
          <w:tcPr>
            <w:tcW w:w="1890" w:type="dxa"/>
            <w:noWrap/>
            <w:hideMark/>
          </w:tcPr>
          <w:p w14:paraId="68EBDC8D"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Learning Objectives</w:t>
            </w:r>
          </w:p>
        </w:tc>
      </w:tr>
      <w:tr w:rsidR="00E7300E" w:rsidRPr="00E7300E" w14:paraId="58894C0F" w14:textId="77777777" w:rsidTr="008815B2">
        <w:trPr>
          <w:trHeight w:val="300"/>
        </w:trPr>
        <w:tc>
          <w:tcPr>
            <w:tcW w:w="960" w:type="dxa"/>
            <w:noWrap/>
            <w:hideMark/>
          </w:tcPr>
          <w:p w14:paraId="2D164B01"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w:t>
            </w:r>
          </w:p>
        </w:tc>
        <w:tc>
          <w:tcPr>
            <w:tcW w:w="6415" w:type="dxa"/>
            <w:noWrap/>
            <w:hideMark/>
          </w:tcPr>
          <w:p w14:paraId="4B483B8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15: "What Is Freedom?": Reconstruction, 1865–1877</w:t>
            </w:r>
          </w:p>
        </w:tc>
        <w:tc>
          <w:tcPr>
            <w:tcW w:w="1890" w:type="dxa"/>
            <w:noWrap/>
            <w:hideMark/>
          </w:tcPr>
          <w:p w14:paraId="2D20A5E7"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7046ACC1" w14:textId="77777777" w:rsidTr="008815B2">
        <w:trPr>
          <w:trHeight w:val="300"/>
        </w:trPr>
        <w:tc>
          <w:tcPr>
            <w:tcW w:w="960" w:type="dxa"/>
            <w:noWrap/>
            <w:hideMark/>
          </w:tcPr>
          <w:p w14:paraId="2637BDAF"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2</w:t>
            </w:r>
          </w:p>
        </w:tc>
        <w:tc>
          <w:tcPr>
            <w:tcW w:w="6415" w:type="dxa"/>
            <w:noWrap/>
            <w:hideMark/>
          </w:tcPr>
          <w:p w14:paraId="43749B12"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16: Chapter 16: America's Gilded Age, 1870–1890</w:t>
            </w:r>
          </w:p>
        </w:tc>
        <w:tc>
          <w:tcPr>
            <w:tcW w:w="1890" w:type="dxa"/>
            <w:noWrap/>
            <w:hideMark/>
          </w:tcPr>
          <w:p w14:paraId="6B6DD9BA"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7195F3C0" w14:textId="77777777" w:rsidTr="008815B2">
        <w:trPr>
          <w:trHeight w:val="300"/>
        </w:trPr>
        <w:tc>
          <w:tcPr>
            <w:tcW w:w="960" w:type="dxa"/>
            <w:noWrap/>
            <w:hideMark/>
          </w:tcPr>
          <w:p w14:paraId="625E4F70"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3</w:t>
            </w:r>
          </w:p>
        </w:tc>
        <w:tc>
          <w:tcPr>
            <w:tcW w:w="6415" w:type="dxa"/>
            <w:noWrap/>
            <w:hideMark/>
          </w:tcPr>
          <w:p w14:paraId="571A681C"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17: Freedom's Boundaries, at Home and Abroad, 1890–1900</w:t>
            </w:r>
          </w:p>
        </w:tc>
        <w:tc>
          <w:tcPr>
            <w:tcW w:w="1890" w:type="dxa"/>
            <w:noWrap/>
            <w:hideMark/>
          </w:tcPr>
          <w:p w14:paraId="2B18CDA5"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522038BC" w14:textId="77777777" w:rsidTr="008815B2">
        <w:trPr>
          <w:trHeight w:val="300"/>
        </w:trPr>
        <w:tc>
          <w:tcPr>
            <w:tcW w:w="960" w:type="dxa"/>
            <w:noWrap/>
            <w:hideMark/>
          </w:tcPr>
          <w:p w14:paraId="20B51186"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4</w:t>
            </w:r>
          </w:p>
        </w:tc>
        <w:tc>
          <w:tcPr>
            <w:tcW w:w="6415" w:type="dxa"/>
            <w:noWrap/>
            <w:hideMark/>
          </w:tcPr>
          <w:p w14:paraId="5D6E166C"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18: The Progressive Era, 1900–1916</w:t>
            </w:r>
          </w:p>
        </w:tc>
        <w:tc>
          <w:tcPr>
            <w:tcW w:w="1890" w:type="dxa"/>
            <w:noWrap/>
            <w:hideMark/>
          </w:tcPr>
          <w:p w14:paraId="635F17C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5885BDBB" w14:textId="77777777" w:rsidTr="008815B2">
        <w:trPr>
          <w:trHeight w:val="300"/>
        </w:trPr>
        <w:tc>
          <w:tcPr>
            <w:tcW w:w="960" w:type="dxa"/>
            <w:noWrap/>
            <w:hideMark/>
          </w:tcPr>
          <w:p w14:paraId="392D5F69"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5</w:t>
            </w:r>
          </w:p>
        </w:tc>
        <w:tc>
          <w:tcPr>
            <w:tcW w:w="6415" w:type="dxa"/>
            <w:noWrap/>
            <w:hideMark/>
          </w:tcPr>
          <w:p w14:paraId="1CB21431"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19: Safe for Democracy: The United States and World War I, 1916–1920</w:t>
            </w:r>
          </w:p>
        </w:tc>
        <w:tc>
          <w:tcPr>
            <w:tcW w:w="1890" w:type="dxa"/>
            <w:noWrap/>
            <w:hideMark/>
          </w:tcPr>
          <w:p w14:paraId="76BD557E"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368C7F2C" w14:textId="77777777" w:rsidTr="008815B2">
        <w:trPr>
          <w:trHeight w:val="300"/>
        </w:trPr>
        <w:tc>
          <w:tcPr>
            <w:tcW w:w="960" w:type="dxa"/>
            <w:noWrap/>
            <w:hideMark/>
          </w:tcPr>
          <w:p w14:paraId="1DCC8B9F"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6</w:t>
            </w:r>
          </w:p>
        </w:tc>
        <w:tc>
          <w:tcPr>
            <w:tcW w:w="6415" w:type="dxa"/>
            <w:noWrap/>
            <w:hideMark/>
          </w:tcPr>
          <w:p w14:paraId="4B1520B0"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20: From Business Culture to Great Depression: The Twenties, 1920–1932</w:t>
            </w:r>
          </w:p>
        </w:tc>
        <w:tc>
          <w:tcPr>
            <w:tcW w:w="1890" w:type="dxa"/>
            <w:noWrap/>
            <w:hideMark/>
          </w:tcPr>
          <w:p w14:paraId="0493D62F"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27402ABA" w14:textId="77777777" w:rsidTr="008815B2">
        <w:trPr>
          <w:trHeight w:val="300"/>
        </w:trPr>
        <w:tc>
          <w:tcPr>
            <w:tcW w:w="960" w:type="dxa"/>
            <w:noWrap/>
            <w:hideMark/>
          </w:tcPr>
          <w:p w14:paraId="46F79A5E"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7</w:t>
            </w:r>
          </w:p>
        </w:tc>
        <w:tc>
          <w:tcPr>
            <w:tcW w:w="6415" w:type="dxa"/>
            <w:noWrap/>
            <w:hideMark/>
          </w:tcPr>
          <w:p w14:paraId="23E9EAC2"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21: The New Deal, 1932–1940</w:t>
            </w:r>
          </w:p>
        </w:tc>
        <w:tc>
          <w:tcPr>
            <w:tcW w:w="1890" w:type="dxa"/>
            <w:noWrap/>
            <w:hideMark/>
          </w:tcPr>
          <w:p w14:paraId="5FDFC973"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7A347C05" w14:textId="77777777" w:rsidTr="008815B2">
        <w:trPr>
          <w:trHeight w:val="300"/>
        </w:trPr>
        <w:tc>
          <w:tcPr>
            <w:tcW w:w="960" w:type="dxa"/>
            <w:noWrap/>
            <w:hideMark/>
          </w:tcPr>
          <w:p w14:paraId="63B3F543"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8</w:t>
            </w:r>
          </w:p>
        </w:tc>
        <w:tc>
          <w:tcPr>
            <w:tcW w:w="6415" w:type="dxa"/>
            <w:noWrap/>
            <w:hideMark/>
          </w:tcPr>
          <w:p w14:paraId="09D5076D"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22: Fighting for the Four Freedoms: World War II, 1941–1945</w:t>
            </w:r>
          </w:p>
        </w:tc>
        <w:tc>
          <w:tcPr>
            <w:tcW w:w="1890" w:type="dxa"/>
            <w:noWrap/>
            <w:hideMark/>
          </w:tcPr>
          <w:p w14:paraId="4C8A8C4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7B0A3A36" w14:textId="77777777" w:rsidTr="008815B2">
        <w:trPr>
          <w:trHeight w:val="300"/>
        </w:trPr>
        <w:tc>
          <w:tcPr>
            <w:tcW w:w="960" w:type="dxa"/>
            <w:noWrap/>
            <w:hideMark/>
          </w:tcPr>
          <w:p w14:paraId="4A86D22A"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9</w:t>
            </w:r>
          </w:p>
        </w:tc>
        <w:tc>
          <w:tcPr>
            <w:tcW w:w="6415" w:type="dxa"/>
            <w:noWrap/>
            <w:hideMark/>
          </w:tcPr>
          <w:p w14:paraId="313962F6"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23: The United States and the Cold War, 1945–1953</w:t>
            </w:r>
          </w:p>
        </w:tc>
        <w:tc>
          <w:tcPr>
            <w:tcW w:w="1890" w:type="dxa"/>
            <w:noWrap/>
            <w:hideMark/>
          </w:tcPr>
          <w:p w14:paraId="019638B5"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3BEA4BD4" w14:textId="77777777" w:rsidTr="008815B2">
        <w:trPr>
          <w:trHeight w:val="300"/>
        </w:trPr>
        <w:tc>
          <w:tcPr>
            <w:tcW w:w="960" w:type="dxa"/>
            <w:noWrap/>
            <w:hideMark/>
          </w:tcPr>
          <w:p w14:paraId="52682E3E"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10</w:t>
            </w:r>
          </w:p>
        </w:tc>
        <w:tc>
          <w:tcPr>
            <w:tcW w:w="6415" w:type="dxa"/>
            <w:noWrap/>
            <w:hideMark/>
          </w:tcPr>
          <w:p w14:paraId="01C2D2E0"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24: An Affluent Society, 1953–1960</w:t>
            </w:r>
          </w:p>
        </w:tc>
        <w:tc>
          <w:tcPr>
            <w:tcW w:w="1890" w:type="dxa"/>
            <w:noWrap/>
            <w:hideMark/>
          </w:tcPr>
          <w:p w14:paraId="2A208064"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18000A22" w14:textId="77777777" w:rsidTr="008815B2">
        <w:trPr>
          <w:trHeight w:val="300"/>
        </w:trPr>
        <w:tc>
          <w:tcPr>
            <w:tcW w:w="960" w:type="dxa"/>
            <w:noWrap/>
            <w:hideMark/>
          </w:tcPr>
          <w:p w14:paraId="266BEA25"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11</w:t>
            </w:r>
          </w:p>
        </w:tc>
        <w:tc>
          <w:tcPr>
            <w:tcW w:w="6415" w:type="dxa"/>
            <w:noWrap/>
            <w:hideMark/>
          </w:tcPr>
          <w:p w14:paraId="15025706"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25: The Sixties, 1960–1968</w:t>
            </w:r>
          </w:p>
        </w:tc>
        <w:tc>
          <w:tcPr>
            <w:tcW w:w="1890" w:type="dxa"/>
            <w:noWrap/>
            <w:hideMark/>
          </w:tcPr>
          <w:p w14:paraId="15D142E5"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60CABCD5" w14:textId="77777777" w:rsidTr="008815B2">
        <w:trPr>
          <w:trHeight w:val="300"/>
        </w:trPr>
        <w:tc>
          <w:tcPr>
            <w:tcW w:w="960" w:type="dxa"/>
            <w:noWrap/>
            <w:hideMark/>
          </w:tcPr>
          <w:p w14:paraId="54918401"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12</w:t>
            </w:r>
          </w:p>
        </w:tc>
        <w:tc>
          <w:tcPr>
            <w:tcW w:w="6415" w:type="dxa"/>
            <w:noWrap/>
            <w:hideMark/>
          </w:tcPr>
          <w:p w14:paraId="6D82096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26: The Conservative Turn, 1969–1988</w:t>
            </w:r>
          </w:p>
        </w:tc>
        <w:tc>
          <w:tcPr>
            <w:tcW w:w="1890" w:type="dxa"/>
            <w:noWrap/>
            <w:hideMark/>
          </w:tcPr>
          <w:p w14:paraId="30AFBBF7"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59836467" w14:textId="77777777" w:rsidTr="008815B2">
        <w:trPr>
          <w:trHeight w:val="300"/>
        </w:trPr>
        <w:tc>
          <w:tcPr>
            <w:tcW w:w="960" w:type="dxa"/>
            <w:noWrap/>
            <w:hideMark/>
          </w:tcPr>
          <w:p w14:paraId="5CBB29DE"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13</w:t>
            </w:r>
          </w:p>
        </w:tc>
        <w:tc>
          <w:tcPr>
            <w:tcW w:w="6415" w:type="dxa"/>
            <w:noWrap/>
            <w:hideMark/>
          </w:tcPr>
          <w:p w14:paraId="1342187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27: From Triumph to Tragedy, 1989–2004</w:t>
            </w:r>
          </w:p>
        </w:tc>
        <w:tc>
          <w:tcPr>
            <w:tcW w:w="1890" w:type="dxa"/>
            <w:noWrap/>
            <w:hideMark/>
          </w:tcPr>
          <w:p w14:paraId="69B17FDE"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3ABE1AB4" w14:textId="77777777" w:rsidTr="008815B2">
        <w:trPr>
          <w:trHeight w:val="300"/>
        </w:trPr>
        <w:tc>
          <w:tcPr>
            <w:tcW w:w="960" w:type="dxa"/>
            <w:noWrap/>
            <w:hideMark/>
          </w:tcPr>
          <w:p w14:paraId="20AFADD2"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14</w:t>
            </w:r>
          </w:p>
        </w:tc>
        <w:tc>
          <w:tcPr>
            <w:tcW w:w="6415" w:type="dxa"/>
            <w:noWrap/>
            <w:hideMark/>
          </w:tcPr>
          <w:p w14:paraId="0EAC0212"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Chapter 28: A Divided Nation</w:t>
            </w:r>
          </w:p>
        </w:tc>
        <w:tc>
          <w:tcPr>
            <w:tcW w:w="1890" w:type="dxa"/>
            <w:noWrap/>
            <w:hideMark/>
          </w:tcPr>
          <w:p w14:paraId="77D82987"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3CB40A07" w14:textId="77777777" w:rsidTr="008815B2">
        <w:trPr>
          <w:trHeight w:val="300"/>
        </w:trPr>
        <w:tc>
          <w:tcPr>
            <w:tcW w:w="960" w:type="dxa"/>
            <w:noWrap/>
            <w:hideMark/>
          </w:tcPr>
          <w:p w14:paraId="2A132C35"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15</w:t>
            </w:r>
          </w:p>
        </w:tc>
        <w:tc>
          <w:tcPr>
            <w:tcW w:w="6415" w:type="dxa"/>
            <w:noWrap/>
            <w:hideMark/>
          </w:tcPr>
          <w:p w14:paraId="3C93A54D"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Conclusion</w:t>
            </w:r>
          </w:p>
        </w:tc>
        <w:tc>
          <w:tcPr>
            <w:tcW w:w="1890" w:type="dxa"/>
            <w:noWrap/>
            <w:hideMark/>
          </w:tcPr>
          <w:p w14:paraId="07394FB8"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LO1, LO2, LO3, LO4, LO5</w:t>
            </w:r>
          </w:p>
        </w:tc>
      </w:tr>
      <w:tr w:rsidR="00E7300E" w:rsidRPr="00E7300E" w14:paraId="13E2460F" w14:textId="77777777" w:rsidTr="008815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61F1939F"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Finals</w:t>
            </w:r>
          </w:p>
        </w:tc>
        <w:tc>
          <w:tcPr>
            <w:tcW w:w="6415" w:type="dxa"/>
            <w:tcBorders>
              <w:left w:val="single" w:sz="4" w:space="0" w:color="auto"/>
              <w:bottom w:val="single" w:sz="4" w:space="0" w:color="auto"/>
            </w:tcBorders>
          </w:tcPr>
          <w:p w14:paraId="0BB915E1" w14:textId="77777777" w:rsidR="00E7300E" w:rsidRPr="00E7300E" w:rsidRDefault="00E7300E" w:rsidP="00E7300E">
            <w:pPr>
              <w:widowControl w:val="0"/>
              <w:autoSpaceDE w:val="0"/>
              <w:autoSpaceDN w:val="0"/>
              <w:adjustRightInd w:val="0"/>
              <w:spacing w:after="0" w:line="240" w:lineRule="auto"/>
              <w:rPr>
                <w:szCs w:val="24"/>
              </w:rPr>
            </w:pPr>
            <w:r w:rsidRPr="00E7300E">
              <w:rPr>
                <w:szCs w:val="24"/>
              </w:rPr>
              <w:t>Final Exam</w:t>
            </w:r>
          </w:p>
          <w:p w14:paraId="5689076B" w14:textId="77777777" w:rsidR="00E7300E" w:rsidRPr="00E7300E" w:rsidRDefault="00E7300E" w:rsidP="00E7300E">
            <w:pPr>
              <w:widowControl w:val="0"/>
              <w:autoSpaceDE w:val="0"/>
              <w:autoSpaceDN w:val="0"/>
              <w:adjustRightInd w:val="0"/>
              <w:spacing w:after="0" w:line="240" w:lineRule="auto"/>
              <w:rPr>
                <w:szCs w:val="24"/>
              </w:rPr>
            </w:pPr>
          </w:p>
        </w:tc>
        <w:tc>
          <w:tcPr>
            <w:tcW w:w="1890" w:type="dxa"/>
            <w:tcBorders>
              <w:left w:val="single" w:sz="4" w:space="0" w:color="auto"/>
              <w:bottom w:val="single" w:sz="4" w:space="0" w:color="auto"/>
              <w:right w:val="single" w:sz="4" w:space="0" w:color="auto"/>
            </w:tcBorders>
          </w:tcPr>
          <w:p w14:paraId="61EE73ED" w14:textId="77777777" w:rsidR="00E7300E" w:rsidRPr="00E7300E" w:rsidRDefault="00E7300E" w:rsidP="00E7300E">
            <w:pPr>
              <w:widowControl w:val="0"/>
              <w:autoSpaceDE w:val="0"/>
              <w:autoSpaceDN w:val="0"/>
              <w:adjustRightInd w:val="0"/>
              <w:spacing w:after="0" w:line="240" w:lineRule="auto"/>
              <w:rPr>
                <w:szCs w:val="24"/>
              </w:rPr>
            </w:pPr>
          </w:p>
        </w:tc>
      </w:tr>
    </w:tbl>
    <w:p w14:paraId="05A8C794" w14:textId="77777777" w:rsidR="00E7300E" w:rsidRDefault="00E7300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BE45" w14:textId="77777777" w:rsidR="006D364C" w:rsidRDefault="006D364C" w:rsidP="002D552E">
      <w:pPr>
        <w:spacing w:after="0" w:line="240" w:lineRule="auto"/>
      </w:pPr>
      <w:r>
        <w:separator/>
      </w:r>
    </w:p>
  </w:endnote>
  <w:endnote w:type="continuationSeparator" w:id="0">
    <w:p w14:paraId="6DC4EB4D" w14:textId="77777777" w:rsidR="006D364C" w:rsidRDefault="006D364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79E9" w14:textId="77777777" w:rsidR="006D364C" w:rsidRDefault="006D364C" w:rsidP="002D552E">
      <w:pPr>
        <w:spacing w:after="0" w:line="240" w:lineRule="auto"/>
      </w:pPr>
      <w:r>
        <w:separator/>
      </w:r>
    </w:p>
  </w:footnote>
  <w:footnote w:type="continuationSeparator" w:id="0">
    <w:p w14:paraId="2CC099A7" w14:textId="77777777" w:rsidR="006D364C" w:rsidRDefault="006D364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7E316AF4" w:rsidR="006B0B4B" w:rsidRPr="00D9546F" w:rsidRDefault="00E7300E" w:rsidP="006B0B4B">
    <w:pPr>
      <w:pStyle w:val="NoSpacing"/>
      <w:rPr>
        <w:b/>
        <w:sz w:val="20"/>
        <w:szCs w:val="20"/>
      </w:rPr>
    </w:pPr>
    <w:r>
      <w:rPr>
        <w:b/>
        <w:sz w:val="20"/>
        <w:szCs w:val="20"/>
      </w:rPr>
      <w:t>HIST 1111 – American History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C4096EF" w:rsidR="007D595B" w:rsidRPr="000071FE" w:rsidRDefault="007D595B" w:rsidP="007D595B">
    <w:pPr>
      <w:pStyle w:val="Header"/>
    </w:pPr>
    <w:r w:rsidRPr="00D9546F">
      <w:rPr>
        <w:b/>
        <w:sz w:val="20"/>
        <w:szCs w:val="20"/>
      </w:rPr>
      <w:t xml:space="preserve">Curriculum Committee – </w:t>
    </w:r>
    <w:r w:rsidR="00426A05">
      <w:rPr>
        <w:b/>
        <w:sz w:val="20"/>
        <w:szCs w:val="20"/>
      </w:rPr>
      <w:t>January 2024</w:t>
    </w:r>
  </w:p>
  <w:p w14:paraId="0B623F1C" w14:textId="3288288F" w:rsidR="007D595B" w:rsidRPr="00D9546F" w:rsidRDefault="00426A05" w:rsidP="007D595B">
    <w:pPr>
      <w:pStyle w:val="NoSpacing"/>
      <w:rPr>
        <w:b/>
        <w:sz w:val="20"/>
        <w:szCs w:val="20"/>
      </w:rPr>
    </w:pPr>
    <w:r>
      <w:rPr>
        <w:b/>
        <w:sz w:val="20"/>
        <w:szCs w:val="20"/>
      </w:rPr>
      <w:t>HIST 1111 – American History II</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35106B"/>
    <w:multiLevelType w:val="multilevel"/>
    <w:tmpl w:val="03FADA2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76753780">
    <w:abstractNumId w:val="0"/>
  </w:num>
  <w:num w:numId="2" w16cid:durableId="38275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26A05"/>
    <w:rsid w:val="004D1743"/>
    <w:rsid w:val="00507674"/>
    <w:rsid w:val="0051463C"/>
    <w:rsid w:val="00561C9D"/>
    <w:rsid w:val="005A1847"/>
    <w:rsid w:val="00620D8B"/>
    <w:rsid w:val="006564A0"/>
    <w:rsid w:val="006B0B4B"/>
    <w:rsid w:val="006D0282"/>
    <w:rsid w:val="006D364C"/>
    <w:rsid w:val="00774CF2"/>
    <w:rsid w:val="007D595B"/>
    <w:rsid w:val="00931E3B"/>
    <w:rsid w:val="009D7356"/>
    <w:rsid w:val="009E3AC0"/>
    <w:rsid w:val="00A138F5"/>
    <w:rsid w:val="00AB4B72"/>
    <w:rsid w:val="00D1718E"/>
    <w:rsid w:val="00E560E4"/>
    <w:rsid w:val="00E7300E"/>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rsid w:val="00E730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37ABC-C325-4286-9B99-C87645601EF3}"/>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Zachary Kronick</cp:lastModifiedBy>
  <cp:revision>3</cp:revision>
  <dcterms:created xsi:type="dcterms:W3CDTF">2024-01-04T14:21:00Z</dcterms:created>
  <dcterms:modified xsi:type="dcterms:W3CDTF">2024-01-05T15:25:00Z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